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Derivatives in Islamic Finance: Principle and Practice in Islamic Capital Markets</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PLVA-0004-</w:t>
            </w:r>
            <w:r w:rsidR="00430DEE">
              <w:rPr>
                <w:rFonts w:cs="Calibri"/>
                <w:bCs/>
                <w:sz w:val="20"/>
                <w:szCs w:val="18"/>
              </w:rPr>
              <w:t>R</w:t>
            </w:r>
            <w:r w:rsidRPr="00171B5D">
              <w:rPr>
                <w:rFonts w:cs="Calibri"/>
                <w:bCs/>
                <w:sz w:val="20"/>
                <w:szCs w:val="18"/>
              </w:rPr>
              <w:t>00</w:t>
            </w:r>
            <w:r w:rsidR="00430DEE">
              <w:rPr>
                <w:rFonts w:cs="Calibri"/>
                <w:bCs/>
                <w:sz w:val="20"/>
                <w:szCs w:val="18"/>
              </w:rPr>
              <w:t>5</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7</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January</w:t>
            </w:r>
            <w:r w:rsidR="00D04603">
              <w:rPr>
                <w:rFonts w:cs="Calibri"/>
                <w:bCs/>
                <w:sz w:val="20"/>
                <w:szCs w:val="18"/>
                <w:lang w:val="en-MY"/>
              </w:rPr>
              <w:t xml:space="preserve"> 2027</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Regus Aurora Place Bukit Jalil,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Unit 3-03-01, Aurora Place, 1, Persiaran Jalil 1,</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Bandar Bukit Jalil, 57000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CPE / </w:t>
            </w:r>
            <w:r w:rsidR="00DC045B" w:rsidRPr="002C6CDD">
              <w:rPr>
                <w:rFonts w:cs="Calibri"/>
                <w:b/>
                <w:sz w:val="19"/>
                <w:szCs w:val="18"/>
                <w:lang w:val="en-MY"/>
              </w:rPr>
              <w:t>FIMM CPD</w:t>
            </w:r>
            <w:r w:rsidR="009F505D">
              <w:rPr>
                <w:rFonts w:cs="Calibri"/>
                <w:b/>
                <w:sz w:val="19"/>
                <w:szCs w:val="18"/>
                <w:lang w:val="en-MY"/>
              </w:rPr>
              <w:t xml:space="preserve"/>
            </w:r>
            <w:r w:rsidR="00DC045B"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CPE Points / 8 CPD Points</w:t>
            </w:r>
            <w:r>
              <w:rPr>
                <w:rFonts w:cs="Calibri"/>
                <w:bCs/>
                <w:sz w:val="20"/>
                <w:szCs w:val="18"/>
                <w:lang w:val="en-MY"/>
              </w:rPr>
              <w:br/>
              <w:t>Subject to SIDC CPE and FIMM CPD requirements.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fourteen (14)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7</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Derivatives in Islamic Finance 07 Jan 2027</dc:title>
  <dc:subject>Registration for Derivatives in Islamic Finance: Principle and Practice in Islamic Capital Markets on 7 January 2027</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