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Structured Products in Capital Markets: AI-Assisted Analysis, Portfolio Design and Risk Control</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PLVA-0006-</w:t>
            </w:r>
            <w:r w:rsidR="00430DEE">
              <w:rPr>
                <w:rFonts w:cs="Calibri"/>
                <w:bCs/>
                <w:sz w:val="20"/>
                <w:szCs w:val="18"/>
              </w:rPr>
              <w:t>R</w:t>
            </w:r>
            <w:r w:rsidRPr="00171B5D">
              <w:rPr>
                <w:rFonts w:cs="Calibri"/>
                <w:bCs/>
                <w:sz w:val="20"/>
                <w:szCs w:val="18"/>
              </w:rPr>
              <w:t>00</w:t>
            </w:r>
            <w:r w:rsidR="00430DEE">
              <w:rPr>
                <w:rFonts w:cs="Calibri"/>
                <w:bCs/>
                <w:sz w:val="20"/>
                <w:szCs w:val="18"/>
              </w:rPr>
              <w:t>3</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28</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January</w:t>
            </w:r>
            <w:r w:rsidR="00D04603">
              <w:rPr>
                <w:rFonts w:cs="Calibri"/>
                <w:bCs/>
                <w:sz w:val="20"/>
                <w:szCs w:val="18"/>
                <w:lang w:val="en-MY"/>
              </w:rPr>
              <w:t xml:space="preserve"> 2027</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ONLINE TRAINING</w:t>
            </w:r>
            <w:r w:rsidR="00DC045B" w:rsidRPr="002C6CDD">
              <w:rPr>
                <w:rFonts w:cs="Calibri"/>
                <w:b/>
                <w:sz w:val="19"/>
                <w:szCs w:val="18"/>
                <w:lang w:val="en-MY"/>
              </w:rPr>
              <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LMS access for the Microsoft Teams class:</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https://academylms.plvadvancebusiness.com</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The Microsoft Teams class link will be provided through the LMS.</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1:15PM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500.00 for Per Participant. </w:t>
            </w:r>
            <w:r w:rsidR="00976EC6">
              <w:rPr>
                <w:rFonts w:cs="Calibri"/>
                <w:b/>
                <w:color w:val="B99A50"/>
                <w:sz w:val="21"/>
                <w:szCs w:val="18"/>
                <w:lang w:val="en-MY"/>
              </w:rPr>
              <w:t/>
            </w:r>
            <w:r w:rsidR="005438FF">
              <w:rPr>
                <w:rFonts w:cs="Calibri"/>
                <w:b/>
                <w:color w:val="B99A50"/>
                <w:sz w:val="21"/>
                <w:szCs w:val="18"/>
                <w:lang w:val="en-MY"/>
              </w:rPr>
              <w:t/>
            </w:r>
            <w:r w:rsidR="00A91B5E">
              <w:rPr>
                <w:rFonts w:cs="Calibri"/>
                <w:b/>
                <w:color w:val="B99A50"/>
                <w:sz w:val="21"/>
                <w:szCs w:val="18"/>
                <w:lang w:val="en-MY"/>
              </w:rPr>
              <w:t/>
            </w:r>
            <w:r w:rsidRPr="00390920">
              <w:rPr>
                <w:rFonts w:cs="Calibri"/>
                <w:b/>
                <w:color w:val="B99A50"/>
                <w:sz w:val="21"/>
                <w:szCs w:val="18"/>
                <w:lang w:val="en-MY"/>
              </w:rPr>
              <w:t xml:space="preserve"/>
            </w:r>
            <w:r w:rsidR="005438FF">
              <w:rPr>
                <w:rFonts w:cs="Calibri"/>
                <w:b/>
                <w:color w:val="B99A50"/>
                <w:sz w:val="21"/>
                <w:szCs w:val="18"/>
                <w:lang w:val="en-MY"/>
              </w:rPr>
              <w:t/>
            </w:r>
            <w:r w:rsidRPr="00390920">
              <w:rPr>
                <w:rFonts w:cs="Calibri"/>
                <w:b/>
                <w:bCs/>
                <w:i/>
                <w:iCs/>
                <w:color w:val="B99A50"/>
                <w:sz w:val="21"/>
                <w:szCs w:val="18"/>
                <w:lang w:val="en-MY"/>
              </w:rPr>
              <w:t xml:space="preserve"/>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program materials and Certificate of Attendance.</w:t>
            </w:r>
            <w:r w:rsidR="007C7D43">
              <w:rPr>
                <w:rFonts w:cs="Calibri"/>
                <w:bCs/>
                <w:i/>
                <w:iCs/>
                <w:sz w:val="19"/>
                <w:szCs w:val="18"/>
                <w:lang w:val="en-MY"/>
              </w:rPr>
              <w:t/>
            </w:r>
            <w:r w:rsidR="00F8045C">
              <w:rPr>
                <w:rFonts w:cs="Calibri"/>
                <w:bCs/>
                <w:i/>
                <w:iCs/>
                <w:sz w:val="19"/>
                <w:szCs w:val="18"/>
                <w:lang w:val="en-MY"/>
              </w:rPr>
              <w:t xml:space="preserve"/>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fourteen (14)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attending the online training must comply with the requirements of the Securities Industry Development Corporation (SIDC) to qualify for CPE points. A minimum attendance of 80% of the total training duration is required. Attendance will be verified through system-generated login records and participation tracking (Microsoft Teams and/or LMS). Participants who do not meet the minimum attendance requirement and/or fail to complete required assessments and engagement activities will not be eligible for SIDC CPE points.</w:t>
      </w:r>
      <w:r w:rsidR="00351963" w:rsidRPr="00041349">
        <w:rPr>
          <w:rFonts w:cs="Calibri"/>
          <w:sz w:val="19"/>
          <w:szCs w:val="16"/>
          <w:lang w:val="en-MY"/>
        </w:rPr>
        <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7</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Structured Products 28 Jan 2027</dc:title>
  <dc:subject>Registration for Structured Products in Capital Markets: AI-Assisted Analysis, Portfolio Design and Risk Control on 28 January 2027</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